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151</w:t>
      </w:r>
    </w:p>
    <w:p>
      <w:r>
        <w:t>Bundesgericht (BGE), 1981-03-26, DE</w:t>
      </w:r>
    </w:p>
    <w:p>
      <w:r>
        <w:rPr>
          <w:b/>
        </w:rPr>
        <w:t xml:space="preserve">Quelle: </w:t>
      </w:r>
      <w:r>
        <w:t>https://mcp.opencaselaw.ch/entscheid/bge_107 II 151</w:t>
      </w:r>
    </w:p>
    <w:p>
      <w:r>
        <w:t>FR: ATF 107 II 151</w:t>
      </w:r>
    </w:p>
    <w:p>
      <w:r>
        <w:t>IT: DTF 107 II 151</w:t>
      </w:r>
    </w:p>
    <w:p>
      <w:pPr>
        <w:pStyle w:val="Heading2"/>
      </w:pPr>
      <w:r>
        <w:t>Regeste</w:t>
      </w:r>
    </w:p>
    <w:p>
      <w:r>
        <w:t>Regeste Organhaftung, Verjährung (Art. 60 Abs. 2 OR). Wird vom Organ einer juristischen Person eine strafbare Handlung begangen, so gilt die längere Verjährungsfrist des Strafrechts nicht nur für den Zivilanspruch gegen den Täter selbst, sondern auch für den Anspruch gegen die juristische Person aus Organhaftung, sofern zwischen dem fehlbaren Organ und der juristischen Person wirtschaftliche Identität besteht (E. 4). Bindung des Zivilrichters an das Strafurteil (Art. 53 Abs. 2 OR). Der Zivilrichter ist bei der Beurteilung der Frage der Haftbarkeit von Bundesrechts wegen verpflichtet, über die Schuldfrage und die Schadensfeststellung ohne Rücksicht auf ein vorausgegangenes Strafurteil frei zu entscheiden. Im übrigen steht es dem kantonalen Recht frei, die Verbindlichkeit des Strafurteils für den Zivilrichter vorzusehen (E. 5).</w:t>
      </w:r>
    </w:p>
    <w:p>
      <w:pPr>
        <w:pStyle w:val="Heading2"/>
      </w:pPr>
      <w:r>
        <w:t>Erwägungen</w:t>
      </w:r>
    </w:p>
    <w:p>
      <w:r>
        <w:rPr>
          <w:b/>
        </w:rPr>
        <w:t>E. 4</w:t>
      </w:r>
    </w:p>
    <w:p>
      <w:r>
        <w:t>Die Vorinstanz hat die von der Beklagten erhobene Verjährungseinrede verworfen, indem sie auf die eingeklagte Forderung nicht die einjährige Verjährungsfrist des Art. 60 Abs. 1 OR , sondern die längere Verjährung des Strafrechts zur Anwendung brachte, davon ausgehend, die Klage werde im Sinne von Art. 60 Abs. 2 OR aus einer strafbaren Handlung hergeleitet. Es ist unbestritten und trifft zu, dass die längere Verjährungsfrist des Strafrechts im vorliegenden Fall zehn Jahre beträgt und dass diese Frist, wenn sie rechtlich massgebend BGE 107 II 151 S. 155 ist, rechtzeitig unterbrochen worden ist. Die Beklagte bestreitet jedoch, dass die längere Verjährungsfrist des Art. 60 Abs. 2 OR auf den ihr gegenüber erhobenen Anspruch anwendbar sei. a) Nach feststehender Rechtsprechung und herrschender Lehre gilt die längere Verjährungsfrist des Strafrechts nicht nur für die (absolute) Verjährung von zehn Jahren, die mit dem Tage der schädigenden Handlung beginnt, sondern auch für jene von einem Jahr, die mit der Kenntnis des Geschädigten vom Schaden und von der Person des Ersatzpflichtigen zu laufen beginnt ( BGE 106 II 215 E. 2 mit Hinweisen). b) Das Bundesgericht hat in seiner bisherigen Rechtsprechung in Übereinstimmung mit dem grössten Teil der Lehre angenommen, dass Art. 60 Abs. 2 OR grundsätzlich nur Anwendung finde auf die Verjährung der Forderung gegen den Täter selbst, nicht aber auch auf jene des Ersatzanspruches gegenüber Dritten, die zivilrechtlich für den Schaden einstehen müssten ( BGE 55 II 28 mit Hinweisen; VON TUHR/PETER, a.a.O. S. 439; OSER/SCHÖNENBERGER, N. 15 zu Art. 60 OR ; BECKER, N. 4 zu Art. 60 OR ). Dieser Auffassung ist in neuester Zeit Widerspruch erwachsen. Mit beachtlichen Gründen wird die Meinung vertreten, die längere strafrechtliche Verjährung müsse auch jenen Ersatzpflichtigen gegenüber Platz greifen, die einzig aufgrund ihrer Beziehung zum Täter für die Folgen von dessen Verhalten einzustehen hätten, wie dies vor allem bei der Haftung der juristischen Person für ihre Organe der Fall sei (SPIRO, Die Begrenzung privater Rechte durch Verjährungs-, Verwirkungs- und Fatalfristen, Bd. I, S. 209; THOMAS BÄR, Gedanken zur praktischen Anwendung der strafrechtlichen Verjährungsfristen im Zivilprozess, SJZ 61/1965, S. 75 f.). Dies stünde in der Tat mit dem Organbegriff des schweizerischen Rechts in Einklang, nach welchem die Organe Teil der juristischen Person selbst sind und ihr Handeln deshalb nicht als Handeln für eine andere Person aufzufassen ist. Mit dem Wortlaut des Gesetzes wäre eine etwas extensivere Auslegung von Art. 60 Abs. 2 OR ebenfalls durchaus vereinbar, da dort von der Klage die Rede ist, die aus einer strafbaren Handlung hergeleitet wird. Die neuere bundesgerichtliche Rechtsprechung hat zur Anwendung von Art. 60 Abs. 2 OR auf ersatzpflichtige Dritte indessen noch nicht Stellung genommen. So wurde die Frage, ob die längere strafrechtliche Verjährung auch gegenüber BGE 107 II 151 S. 156 den Erben eines Täters oder gegenüber einer (direkt belangbaren) Haftpflichtversicherung gelte, ausdrücklich offen gelassen ( BGE 93 II 502 , 90 II 435 E. 4). c) Wie es sich mit diesem Problem verhält, braucht im vorliegenden Fall indessen nicht entschieden zu werden. Bereits die bisherige Rechtsprechung hat nämlich einen Vorbehalt wenigstens für den Fall angebracht, dass zwischen dem fehlbaren Organ und der Gesellschaft selber wirtschaftliche Identität besteht; unter dieser Voraussetzung soll gegenüber der Gesellschaft die gleiche Verjährungsfrist Anwendung finden wie gegenüber dem Organ als solchem ( BGE 55 II 28 ). Diese Lösung ist in der Lehre auf Zustimmung gestossen (vgl. die bei SPIRO, a.a.O., S. 209 Anm. 19 zitierten Autoren). Es rechtfertigt sich, daran festzuhalten und jedenfalls überall dort in gleichem Sinne zu entscheiden, wo eine entsprechend enge wirtschaftliche Verflechtung zwischen einem Organ und der Gesellschaft besteht. Die Vorinstanz hat für das Bundesgericht verbindlich festgestellt, dass Hugo S. im massgebenden Zeitraum Mehrheitsaktionär, geschäftsführendes Verwaltungsratsmitglied und Direktor der Beklagten war und dass er faktisch die Verfügungsmacht über diese besass. Sie hat deshalb die in BGE 55 II 28 getroffene Lösung mit Recht auch im vorliegenden Fall als anwendbar betrachtet. Entgegen der von der Beklagten vertretenen Auffassung kann es nicht darauf ankommen, dass sich die Klage hier im Unterschied zu dem in BGE 55 II 23 ff. beurteilten Fall gegen eine Bank richtet und dass diese durch das Verhalten ihres Organs offenbar nicht direkt bereichert wurde. Die Rechtfertigung für die Anwendung der längeren Verjährungsfrist des Strafrechts gegenüber der beklagten Gesellschaft ist darin zu erblicken, das diese von S. dank dessen Verfügungsmacht als blosses Instrument gebraucht werden konnte, weshalb es nicht richtig wäre, wenn sie sich dem Zugriff des Klägers gegenüber auf ihre juristische Selbständigkeit berufen könnte. Dass sich die Beklagte heute in Nachlassliquidation befindet und sie sich im Interesse der übrigen Gläubiger gegen den Anspruch des Klägers zur Wehr setzt, vermag sodann ihre Rechtsstellung selbstverständlich nicht zu verbessern. d) Ist der angefochtene Entscheid in bezug auf die Verwerfung der Verjährungseinrede aus den dargelegten Gründen zu bestätigen, kann offen gelassen werden, ob die Verjährung BGE 107 II 151 S. 157 auch deshalb nicht eingetreten wäre, weil der Kläger die einjährige Verjährungsfrist des Art. 60 Abs. 1 OR gegenüber dem als Solidarschuldner für die gleiche Forderung haftenden Hugo S. immer wieder rechtzeitig unterbrochen habe, wie in der Berufungsantwort eventualiter geltend gemacht wird.</w:t>
      </w:r>
    </w:p>
    <w:p>
      <w:r>
        <w:rPr>
          <w:b/>
        </w:rPr>
        <w:t>E. 5</w:t>
      </w:r>
    </w:p>
    <w:p>
      <w:r>
        <w:t>Die Beklagte vertritt des weiteren gestützt auf Art. 53 OR die Auffassung, sie habe Anspruch darauf, dass der Zivilrichter den Sachverhalt bei der Beurteilung der Frage ihrer Haftbarkeit umfassend prüfe und diesbezüglich nicht einfach auf das Strafurteil gegen Hugo und Fernanda S. abstelle, wie dies die Vorinstanz getan habe. Es müsse dies hier umso eher gelten, als die Beklagte am Strafverfahren gegen die Eheleute S. selber nicht beteiligt gewesen sei und ihre Interessen somit nicht habe wahren können. Das angefochtene Urteil sei auch insofern mangelhaft, als es den massgebenden Sachverhalt nur unvollständig wiedergebe; so fehle es an Feststellungen über Tatbestandselemente, die für die Beurteilung des Verschuldens von Hugo S. und des (adäquaten) Kausalzusammenhangs wesentlich seien. Die von der Beklagten angebotenen Beweise seien im übrigen in Verletzung von Art. 4 BV nicht abgenommen worden. Die Vorinstanz ist davon ausgegangen, eine Bindung des Zivilrichters an strafrechtliche Erkenntnisse sei soweit gegeben, als darin festgestellt werde, dass der Verurteilte die ihm zur Last gelegten Handlungen begangen habe und diese Handlungen widerrechtlich seien. Selbst wenn indessen in bezug auf die Bindung des Zivilrichters weniger weit gegangen werden wollte, sei es doch geboten, in diesen Punkten nicht ohne sehr gewichtige Gründe vom Strafurteil abzuweichen. Im vorliegenden Verfahren habe daher als erwiesen zu gelten, dass Hugo S. zuhanden des Klägers ein nicht gedecktes Einlageheft ausgestellt habe, dieses dem Kläger habe zukommen lassen und es sodann wider besseres Wissen als gültig erklärt habe. Zu prüfen sei daher lediglich noch, ob S. die betrügerischen Machenschaften als Organ der Beklagten begangen und in dieser Eigenschaft den Kläger geschädigt habe. Diesen Problemkreis aber habe die Beklagte in üblichem Ausmass im Prozess zur Geltung bringen können. a) Auf die von der Beklagten erhobene Rüge, es sei ihr das rechtliche Gehör verweigert worden, indem auf ihren vom Strafurteil gegen Hugo S. abweichenden Standpunkt von den BGE 107 II 151 S. 158 kantonalen Instanzen zu wenig eingegangen und die Abnahme angebotener Beweise verweigert worden sei, kann im Rahmen des vorliegenden Verfahrens nicht eingetreten werden. Die Verletzung verfassungsmässiger Rechte - wie hier des Art. 4 BV - kann nicht mit der Berufung, sondern nur mit staatsrechtlicher Beschwerde geltend gemacht werden ( Art. 43 Abs. 1 OG ). Im Falle der Nichtabnahme von Beweisen kann das Bundesgericht als Berufungsinstanz nur prüfen, ob dadurch der sich aus Art. 8 ZGB ergebende Anspruch einer Partei auf Beweisführung verletzt worden sei. b) Art. 53 Abs. 2 OR bestimmt, ein strafgerichtliches Erkenntnis sei mit Bezug auf die Beurteilung der Schuld und die Bestimmung des Schadens für den Zivilrichter nicht verbindlich. Nach der bundesgerichtlichen Rechtsprechung stellt diese Vorschrift einen auf die Schuldfrage und die Schadensbestimmung beschränkten Eingriff des Bundesgesetzgebers in das sonst den Kantonen vorbehaltene Prozessrecht dar; in bezug auf diese beiden Problemkreise ist demnach eine Bindung des Zivilrichters an ein vorausgegangenes Strafurteil im Interesse des materiellen Bundesrechts ausgeschlossen. Im übrigen steht es jedoch den Kantonen von Bundesrechts wegen frei, die Verbindlichkeit eines Strafurteils für den Zivilrichter vorzusehen, insbesondere was die Feststellung der Tat als solcher und deren Widerrechtlichkeit anbetrifft ( BGE 57 II 32 E. 1, BGE 56 II 438 /439; vgl. auch BGE 79 II 148 E. 1 und BGE 77 II 306 lit. c). Im gleichen Sinne hat sich auch die neuere Lehre ausgesprochen, dies im Unterschied zur älteren, welche durch Umkehrschluss aus Art. 53 Abs. 2 OR eine sich aus Bundesrecht ergebende Bindung des Zivilrichters bezüglich der in dieser Bestimmung nicht ausdrücklich erwähnten Fragen ableiten wollte (vgl. vor allem VON TUHR/PETER, a.a.O. S. 437, insb. N. 22a und 22b; OFTINGER, Schweiz. Haftpflichtrecht, Bd. I, Allgem. Teil, 4. Aufl., S. 156 f., insbesondere N. 115 und 117; DESCHENAUX/TERCIER, La responsabilité civile, S. 205 f.; P. ENGEL, Traité des obligations en droit suisse, S. 386; G. SCYBOZ, L'effet de la chose jugée au pénal sur le sort de l'action civile, S. 110 ff., insbesondere S. 141; etwas abweichend GULDENER, a.a.O., S. 384 f.). Es trifft somit nicht zu, wie im angefochtenen Urteil ausgeführt wird, dass der Zivilrichter nach Bundesrecht an ein verurteilendes Straferkenntnis mindestens insoweit gebunden sei, als BGE 107 II 151 S. 159 dieses die Tat und deren Widerrechtlichkeit feststelle. Richtig ist hingegen, dass die kantonale Rechtsprechung von einer solchen Bindung ausgehen kann, ohne dadurch Bundesrecht zu verletzen. Wenn im Kanton Zürich eine dahingehende Gerichtspraxis besteht, wie die Vorinstanz hervorhebt und wofür auch der in ZR 65/1966 Nr. 113 wiedergegebene Entscheid spricht, ist unter dem Gesichtspunkt des Bundesrechts dagegen nichts einzuwenden. Der Beklagten ist allerdings zuzugeben, dass die Annahme einer solchen Bindung sich dort nicht rechtfertigt, wo wie hier die Auswirkungen eines Strafurteils auf einen Dritten, der am Strafverfahren nicht beteiligt war, in Frage stehen (so ausdrücklich GULDENER, a.a.O. s. 385). Ein Verstoss gegen diesen Grundsatz verletzt indessen keine Bestimmung des Bundeszivilrechts, sondern höchstens Art. 4 BV ; er könnte deshalb nur mit staatsrechtlicher Beschwerde gerügt werden. Aus Art. 53 Abs. 2 OR ergibt sich aber wie gesehen die Verpflichtung des Zivilrichters, mindestens über die Schuldfrage und die Schadensbestimmung frei zu entscheiden, ohne sich dabei durch ein vorausgegangenes Strafurteil gebunden zu fühlen. Es bleibt zu prüfen, ob die Vorinstanz diesem bundesrechtlichen Grundsatz nachgekommen ist. c) Im Rahmen ihrer Erwägungen zur Tragweite von Art. 53 Abs. 2 OR hat die Vorinstanz eine Bindung des Zivilrichters an ein vorausgegangenes Strafurteil an sich nur insoweit bejaht, als darin festgestellt wird, dass der Verurteilte die ihm zur Last gelegten Handlungen begangen habe und diese Handlungen als widerrechtlich zu betrachten seien. Von einer Bindung auch in bezug auf die Schuldfrage hat sie zu Recht nicht gesprochen, stünde dies doch in direktem Widerspruch zum Gesetzeswortlaut. Bei der Anwendung ihrer allgemeinen Überlegungen auf den vorliegenden Fall bezeichnete es die Vorinstanz indessen unter blossem Hinweis auf das Strafurteil gegen die Eheleute S. als erwiesen, dass Hugo S. mit der Ausstellung und der Aushändigung eines Einlageheftes der Beklagten an den Kläger eine widerrechtliche Handlung begangen habe. Zur Frage seines Verschuldens nahm sie dabei überhaupt nicht Stellung. Dies läuft aber darauf hinaus, dass die Vorinstanz das Strafurteil auch diesbezüglich als für sie verbindlich betrachtete. Ein solches Vorgehen ist mit Art. 53 Abs. 2 OR nicht vereinbar. Der BGE 107 II 151 S. 160 Zivilrichter, der über einen bereits vom Strafrichter beurteilten Sachverhalt zu entscheiden hat, muss die Frage der Schuld selbständig und frei prüfen. Wie weit er dabei auf Ermittlungen und tatsächliche Feststellungen des Strafrichters abstellen darf und will, ist eine Frage des kantonalen Prozessrechts und der Beweiswürdigung, die sich der Kontrolle durch das Bundesgericht als Berufungsinstanz entzieht. Der Zivilrichter muss aber in seinem Entscheid zum Ausdruck bringen, von welchen Feststellungen tatsächlicher Natur er bei der Beurteilung der Schuldfrage ausgeht und aus welchen Gründen er zur Bejahung eines Verschuldens gelangt. Nur wenn das Urteil diesen Erfordernissen entspricht, kann von einer selbständigen Beurteilung der Schuldfrage durch den Zivilrichter die Rede sein. Der angefochtene Entscheid genügt diesen Anforderungen offensichtlich nicht und muss deshalb aufgehoben werden. Die Sache ist an die Vorinstanz zurückzuweisen, damit diese unabhängig von der Beurteilung der Schuldfrage durch den Strafrichter prüft, ob und allenfalls aus welchen Gründen angenommen werden muss, Hugo S. habe dem Kläger absichtlich oder fahrlässig Schaden zugefügt, was Voraussetzung für eine Haftung der Beklagten gemäss Art. 718 Abs. 3 OR bzw. Art. 55 Abs. 2 ZGB bildet. Dabei wird auch dem sich aus Art. 8 ZGB ergebenden Anspruch der Beklagten auf Antretung des Gegenbeweises angemessen Rechnung zu tragen sein. Eine sorgfältige Prüfung der Beweisanträge der Beklagten rechtfertigt sich umso eher, als diese im Strafprozess nicht Partei war und auf dessen Ausgang somit keinen Einfluss hatte. d) Auch die Frage des Kausalzusammenhangs hat die Vorinstanz nicht selbständig geprüft. Die Beklagte hatte schon im kantonalen Berufungsverfahren bestritten, dass das Verhalten des S. als Organs der Beklagten die adäquate Ursache des dem Kläger erwachsenen Schadens darstelle. Die Vorinstanz hat sich hiezu nicht geäussert. Sie hat aber auch nicht angenommen, die Bindung des Zivilrichters an das Strafurteil erstrecke sich nach zürcherischem Prozessrecht auch auf diesen Punkt. Offenbar hat sie den Kausalzusammenhang zwischen der strafbaren Handlung des S. und dem Schaden des Klägers trotz der Einwendungen der Beklagten aufgrund des Strafurteils als selbstverständlich erachtet. Selbständige Feststellungen hat sie jedoch nicht getroffen. Auch das wird im Rückweisungsverfahren nachzuholen sein. BGE 107 II 151 S. 161 e) Zu bestätigen sind hingegen die Überlegungen der Vorinstanz zur Frage, ob Hugo S. eine allfällige unerlaubte Handlung als Organ der Beklagten begangen habe. In dieser Hinsicht kann auf die zutreffenden Ausführungen im angefochtenen Urteil verwiesen werden, gegen welche die Beklagte keine Einwendungen erhoben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